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C9" w:rsidRDefault="00FB24EB" w:rsidP="00FB24EB">
      <w:pPr>
        <w:jc w:val="center"/>
      </w:pPr>
      <w:r>
        <w:t>Preparing for Family Court Temporary Hearings</w:t>
      </w:r>
    </w:p>
    <w:p w:rsidR="0089070D" w:rsidRDefault="0089070D" w:rsidP="00CA73F6">
      <w:pPr>
        <w:pStyle w:val="ListParagraph"/>
        <w:numPr>
          <w:ilvl w:val="0"/>
          <w:numId w:val="1"/>
        </w:numPr>
      </w:pPr>
      <w:r>
        <w:t xml:space="preserve">Temporary relief </w:t>
      </w:r>
      <w:hyperlink r:id="rId5" w:history="1">
        <w:r w:rsidRPr="00FF6503">
          <w:rPr>
            <w:rStyle w:val="Hyperlink"/>
          </w:rPr>
          <w:t>SCRFC 21</w:t>
        </w:r>
      </w:hyperlink>
    </w:p>
    <w:p w:rsidR="0089070D" w:rsidRDefault="0089070D" w:rsidP="0089070D">
      <w:pPr>
        <w:pStyle w:val="ListParagraph"/>
        <w:numPr>
          <w:ilvl w:val="1"/>
          <w:numId w:val="1"/>
        </w:numPr>
      </w:pPr>
      <w:r>
        <w:t>Substantive relief one is seeking at the conclusion of a case that is sought prior to trial</w:t>
      </w:r>
    </w:p>
    <w:p w:rsidR="0089070D" w:rsidRDefault="0089070D" w:rsidP="0089070D">
      <w:pPr>
        <w:pStyle w:val="ListParagraph"/>
        <w:numPr>
          <w:ilvl w:val="1"/>
          <w:numId w:val="1"/>
        </w:numPr>
      </w:pPr>
      <w:r>
        <w:t>Can be brought once automatically prior to trial</w:t>
      </w:r>
    </w:p>
    <w:p w:rsidR="002632CD" w:rsidRDefault="002632CD" w:rsidP="0089070D">
      <w:pPr>
        <w:pStyle w:val="ListParagraph"/>
        <w:numPr>
          <w:ilvl w:val="1"/>
          <w:numId w:val="1"/>
        </w:numPr>
      </w:pPr>
      <w:r>
        <w:t>Can be brought to seek relief that wasn’t previously sought</w:t>
      </w:r>
    </w:p>
    <w:p w:rsidR="002632CD" w:rsidRDefault="0089070D" w:rsidP="002632CD">
      <w:pPr>
        <w:pStyle w:val="ListParagraph"/>
        <w:numPr>
          <w:ilvl w:val="1"/>
          <w:numId w:val="1"/>
        </w:numPr>
      </w:pPr>
      <w:r>
        <w:t xml:space="preserve">Can only be sought a second time </w:t>
      </w:r>
      <w:r w:rsidR="002632CD">
        <w:t xml:space="preserve">to modify prior temporary order </w:t>
      </w:r>
      <w:r>
        <w:t xml:space="preserve">if there is </w:t>
      </w:r>
      <w:r w:rsidR="002632CD" w:rsidRPr="002632CD">
        <w:rPr>
          <w:i/>
        </w:rPr>
        <w:t>pendent lite</w:t>
      </w:r>
      <w:r w:rsidR="002632CD">
        <w:t xml:space="preserve"> </w:t>
      </w:r>
      <w:r>
        <w:t xml:space="preserve">substantial change of circumstances </w:t>
      </w:r>
      <w:hyperlink r:id="rId6" w:history="1">
        <w:r w:rsidR="00233A2B" w:rsidRPr="00FF6503">
          <w:rPr>
            <w:rStyle w:val="Hyperlink"/>
            <w:i/>
          </w:rPr>
          <w:t>Calhoun v. Calhoun</w:t>
        </w:r>
      </w:hyperlink>
      <w:r w:rsidR="00233A2B">
        <w:t xml:space="preserve">, </w:t>
      </w:r>
      <w:r w:rsidR="002632CD">
        <w:t>331 S.C. 157, 501 S.E.2d 735, 739 (</w:t>
      </w:r>
      <w:proofErr w:type="spellStart"/>
      <w:r w:rsidR="00233A2B">
        <w:t>C</w:t>
      </w:r>
      <w:r w:rsidR="002632CD">
        <w:t>t</w:t>
      </w:r>
      <w:r w:rsidR="00233A2B">
        <w:t>.App</w:t>
      </w:r>
      <w:proofErr w:type="spellEnd"/>
      <w:r w:rsidR="00233A2B">
        <w:t>. 1998)</w:t>
      </w:r>
    </w:p>
    <w:p w:rsidR="0089070D" w:rsidRDefault="0089070D" w:rsidP="002632CD">
      <w:pPr>
        <w:pStyle w:val="ListParagraph"/>
        <w:numPr>
          <w:ilvl w:val="1"/>
          <w:numId w:val="1"/>
        </w:numPr>
      </w:pPr>
      <w:r>
        <w:t>Burden of proof</w:t>
      </w:r>
    </w:p>
    <w:p w:rsidR="0089070D" w:rsidRDefault="0089070D" w:rsidP="0089070D">
      <w:pPr>
        <w:pStyle w:val="ListParagraph"/>
        <w:numPr>
          <w:ilvl w:val="2"/>
          <w:numId w:val="1"/>
        </w:numPr>
      </w:pPr>
      <w:r>
        <w:t>Preponderance of the evidence for initial case</w:t>
      </w:r>
    </w:p>
    <w:p w:rsidR="0089070D" w:rsidRDefault="0089070D" w:rsidP="0089070D">
      <w:pPr>
        <w:pStyle w:val="ListParagraph"/>
        <w:numPr>
          <w:ilvl w:val="2"/>
          <w:numId w:val="1"/>
        </w:numPr>
      </w:pPr>
      <w:r>
        <w:t>Substantial change of circumstances for modification cases</w:t>
      </w:r>
      <w:r w:rsidR="002632CD">
        <w:t xml:space="preserve"> and subsequent temporary motions</w:t>
      </w:r>
    </w:p>
    <w:p w:rsidR="0089070D" w:rsidRDefault="0089070D" w:rsidP="00CA73F6">
      <w:pPr>
        <w:pStyle w:val="ListParagraph"/>
        <w:numPr>
          <w:ilvl w:val="0"/>
          <w:numId w:val="1"/>
        </w:numPr>
      </w:pPr>
      <w:r>
        <w:t>When to seek temporary relief?</w:t>
      </w:r>
    </w:p>
    <w:p w:rsidR="0089070D" w:rsidRDefault="0089070D" w:rsidP="0089070D">
      <w:pPr>
        <w:pStyle w:val="ListParagraph"/>
        <w:numPr>
          <w:ilvl w:val="1"/>
          <w:numId w:val="1"/>
        </w:numPr>
      </w:pPr>
      <w:r>
        <w:t>Is the status quo acceptable?</w:t>
      </w:r>
    </w:p>
    <w:p w:rsidR="0089070D" w:rsidRDefault="0089070D" w:rsidP="0089070D">
      <w:pPr>
        <w:pStyle w:val="ListParagraph"/>
        <w:numPr>
          <w:ilvl w:val="1"/>
          <w:numId w:val="1"/>
        </w:numPr>
      </w:pPr>
      <w:r>
        <w:t>Would discovery strengthen one’s ability to obtain temporary relief</w:t>
      </w:r>
    </w:p>
    <w:p w:rsidR="002632CD" w:rsidRDefault="0089070D" w:rsidP="002632CD">
      <w:pPr>
        <w:pStyle w:val="ListParagraph"/>
        <w:numPr>
          <w:ilvl w:val="2"/>
          <w:numId w:val="1"/>
        </w:numPr>
      </w:pPr>
      <w:r>
        <w:t xml:space="preserve">Automatic discovery under new </w:t>
      </w:r>
      <w:hyperlink r:id="rId7" w:history="1">
        <w:r w:rsidRPr="00FF6503">
          <w:rPr>
            <w:rStyle w:val="Hyperlink"/>
          </w:rPr>
          <w:t>SCFCR 25</w:t>
        </w:r>
      </w:hyperlink>
    </w:p>
    <w:p w:rsidR="0089070D" w:rsidRDefault="0089070D" w:rsidP="0089070D">
      <w:pPr>
        <w:pStyle w:val="ListParagraph"/>
        <w:numPr>
          <w:ilvl w:val="1"/>
          <w:numId w:val="1"/>
        </w:numPr>
      </w:pPr>
      <w:r>
        <w:t>Seeking procedural relief prior to temporary relief</w:t>
      </w:r>
    </w:p>
    <w:p w:rsidR="0089070D" w:rsidRDefault="0089070D" w:rsidP="0089070D">
      <w:pPr>
        <w:pStyle w:val="ListParagraph"/>
        <w:numPr>
          <w:ilvl w:val="2"/>
          <w:numId w:val="1"/>
        </w:numPr>
      </w:pPr>
      <w:r>
        <w:t xml:space="preserve">Appointment of guardian ad litem to investigate prior to </w:t>
      </w:r>
      <w:r w:rsidR="002632CD">
        <w:t xml:space="preserve">seeking </w:t>
      </w:r>
      <w:r>
        <w:t>custody modification</w:t>
      </w:r>
    </w:p>
    <w:p w:rsidR="0089070D" w:rsidRDefault="002632CD" w:rsidP="0089070D">
      <w:pPr>
        <w:pStyle w:val="ListParagraph"/>
        <w:numPr>
          <w:ilvl w:val="2"/>
          <w:numId w:val="1"/>
        </w:numPr>
      </w:pPr>
      <w:r>
        <w:t>Substance abuse testing prior to seeking alimony/custody</w:t>
      </w:r>
    </w:p>
    <w:p w:rsidR="00CA73F6" w:rsidRDefault="0089070D" w:rsidP="00CA73F6">
      <w:pPr>
        <w:pStyle w:val="ListParagraph"/>
        <w:numPr>
          <w:ilvl w:val="0"/>
          <w:numId w:val="1"/>
        </w:numPr>
      </w:pPr>
      <w:r>
        <w:t>The distinction between</w:t>
      </w:r>
      <w:r w:rsidR="00CA73F6">
        <w:t xml:space="preserve"> temporary relief and procedural relief </w:t>
      </w:r>
      <w:hyperlink r:id="rId8" w:history="1">
        <w:r w:rsidR="00CA73F6" w:rsidRPr="005B444D">
          <w:rPr>
            <w:rStyle w:val="Hyperlink"/>
          </w:rPr>
          <w:t>SCRCP 6</w:t>
        </w:r>
      </w:hyperlink>
      <w:r w:rsidR="00CA73F6">
        <w:t xml:space="preserve"> and </w:t>
      </w:r>
      <w:hyperlink r:id="rId9" w:history="1">
        <w:r w:rsidR="00CA73F6" w:rsidRPr="00FF6503">
          <w:rPr>
            <w:rStyle w:val="Hyperlink"/>
          </w:rPr>
          <w:t>SCFCR 2</w:t>
        </w:r>
        <w:r w:rsidRPr="00FF6503">
          <w:rPr>
            <w:rStyle w:val="Hyperlink"/>
          </w:rPr>
          <w:t>1</w:t>
        </w:r>
      </w:hyperlink>
    </w:p>
    <w:p w:rsidR="00CA73F6" w:rsidRDefault="00CA73F6" w:rsidP="00CA73F6">
      <w:pPr>
        <w:pStyle w:val="ListParagraph"/>
        <w:numPr>
          <w:ilvl w:val="1"/>
          <w:numId w:val="1"/>
        </w:numPr>
      </w:pPr>
      <w:r>
        <w:t>Temporary relief is relief sought in the pleading that is being sought prior to trial</w:t>
      </w:r>
    </w:p>
    <w:p w:rsidR="002632CD" w:rsidRDefault="002632CD" w:rsidP="00CA73F6">
      <w:pPr>
        <w:pStyle w:val="ListParagraph"/>
        <w:numPr>
          <w:ilvl w:val="1"/>
          <w:numId w:val="1"/>
        </w:numPr>
      </w:pPr>
      <w:r>
        <w:t>Procedural relief is relief addressing the litigation process</w:t>
      </w:r>
    </w:p>
    <w:p w:rsidR="002632CD" w:rsidRDefault="002632CD" w:rsidP="00CA73F6">
      <w:pPr>
        <w:pStyle w:val="ListParagraph"/>
        <w:numPr>
          <w:ilvl w:val="1"/>
          <w:numId w:val="1"/>
        </w:numPr>
      </w:pPr>
      <w:r>
        <w:t xml:space="preserve">Temporary relief, </w:t>
      </w:r>
      <w:hyperlink r:id="rId10" w:history="1">
        <w:r w:rsidRPr="00FF6503">
          <w:rPr>
            <w:rStyle w:val="Hyperlink"/>
          </w:rPr>
          <w:t>Rule 21, SCFCR</w:t>
        </w:r>
      </w:hyperlink>
      <w:r>
        <w:t xml:space="preserve">; procedural relief </w:t>
      </w:r>
      <w:hyperlink r:id="rId11" w:history="1">
        <w:r w:rsidRPr="005B444D">
          <w:rPr>
            <w:rStyle w:val="Hyperlink"/>
          </w:rPr>
          <w:t>Rule 6, SCRCP</w:t>
        </w:r>
      </w:hyperlink>
    </w:p>
    <w:p w:rsidR="002632CD" w:rsidRDefault="002632CD" w:rsidP="00CA73F6">
      <w:pPr>
        <w:pStyle w:val="ListParagraph"/>
        <w:numPr>
          <w:ilvl w:val="1"/>
          <w:numId w:val="1"/>
        </w:numPr>
      </w:pPr>
      <w:r>
        <w:t xml:space="preserve">Temporary relief, 5 business </w:t>
      </w:r>
      <w:proofErr w:type="spellStart"/>
      <w:r>
        <w:t>day’s notice</w:t>
      </w:r>
      <w:proofErr w:type="spellEnd"/>
      <w:r>
        <w:t xml:space="preserve">; procedural relief 10 </w:t>
      </w:r>
      <w:proofErr w:type="spellStart"/>
      <w:r>
        <w:t>days notice</w:t>
      </w:r>
      <w:proofErr w:type="spellEnd"/>
    </w:p>
    <w:p w:rsidR="002632CD" w:rsidRDefault="002632CD" w:rsidP="00CA73F6">
      <w:pPr>
        <w:pStyle w:val="ListParagraph"/>
        <w:numPr>
          <w:ilvl w:val="1"/>
          <w:numId w:val="1"/>
        </w:numPr>
      </w:pPr>
      <w:r>
        <w:t>Temporary relief, serve affidavits at hearing; procedural relief, serve supporting affidavits with motion; serve defending affidavits two days prior to hearing</w:t>
      </w:r>
    </w:p>
    <w:p w:rsidR="00FB24EB" w:rsidRDefault="00FB24EB" w:rsidP="00FB24EB">
      <w:pPr>
        <w:pStyle w:val="ListParagraph"/>
        <w:numPr>
          <w:ilvl w:val="0"/>
          <w:numId w:val="1"/>
        </w:numPr>
      </w:pPr>
      <w:r>
        <w:t>Drafting initial motion</w:t>
      </w:r>
    </w:p>
    <w:p w:rsidR="00ED686E" w:rsidRDefault="00ED686E" w:rsidP="00ED686E">
      <w:pPr>
        <w:pStyle w:val="ListParagraph"/>
        <w:numPr>
          <w:ilvl w:val="1"/>
          <w:numId w:val="1"/>
        </w:numPr>
      </w:pPr>
      <w:r>
        <w:t>What relief is being sought</w:t>
      </w:r>
    </w:p>
    <w:p w:rsidR="00ED686E" w:rsidRDefault="00ED686E" w:rsidP="00ED686E">
      <w:pPr>
        <w:pStyle w:val="ListParagraph"/>
        <w:numPr>
          <w:ilvl w:val="1"/>
          <w:numId w:val="1"/>
        </w:numPr>
      </w:pPr>
      <w:r>
        <w:t>What factual and legal arguments will lead the court to grant that relief</w:t>
      </w:r>
    </w:p>
    <w:p w:rsidR="00ED686E" w:rsidRDefault="00ED686E" w:rsidP="00ED686E">
      <w:pPr>
        <w:pStyle w:val="ListParagraph"/>
        <w:numPr>
          <w:ilvl w:val="1"/>
          <w:numId w:val="1"/>
        </w:numPr>
      </w:pPr>
      <w:r>
        <w:t>How will one develop the factual argument</w:t>
      </w:r>
    </w:p>
    <w:p w:rsidR="00ED686E" w:rsidRDefault="00ED686E" w:rsidP="00ED686E">
      <w:pPr>
        <w:pStyle w:val="ListParagraph"/>
        <w:numPr>
          <w:ilvl w:val="2"/>
          <w:numId w:val="1"/>
        </w:numPr>
      </w:pPr>
      <w:r>
        <w:t>Affidavits</w:t>
      </w:r>
    </w:p>
    <w:p w:rsidR="00ED686E" w:rsidRDefault="00ED686E" w:rsidP="00ED686E">
      <w:pPr>
        <w:pStyle w:val="ListParagraph"/>
        <w:numPr>
          <w:ilvl w:val="2"/>
          <w:numId w:val="1"/>
        </w:numPr>
      </w:pPr>
      <w:r>
        <w:t>Records</w:t>
      </w:r>
    </w:p>
    <w:p w:rsidR="00ED686E" w:rsidRDefault="00ED686E" w:rsidP="00ED686E">
      <w:pPr>
        <w:pStyle w:val="ListParagraph"/>
        <w:numPr>
          <w:ilvl w:val="2"/>
          <w:numId w:val="1"/>
        </w:numPr>
      </w:pPr>
      <w:r>
        <w:t>Discovery</w:t>
      </w:r>
    </w:p>
    <w:p w:rsidR="00ED686E" w:rsidRDefault="00ED686E" w:rsidP="00ED686E">
      <w:pPr>
        <w:pStyle w:val="ListParagraph"/>
        <w:numPr>
          <w:ilvl w:val="2"/>
          <w:numId w:val="1"/>
        </w:numPr>
      </w:pPr>
      <w:r>
        <w:t>Subpoenas</w:t>
      </w:r>
    </w:p>
    <w:p w:rsidR="00ED686E" w:rsidRDefault="00ED686E" w:rsidP="00ED686E">
      <w:pPr>
        <w:pStyle w:val="ListParagraph"/>
        <w:numPr>
          <w:ilvl w:val="2"/>
          <w:numId w:val="1"/>
        </w:numPr>
      </w:pPr>
      <w:r>
        <w:t>Guardian’s report</w:t>
      </w:r>
    </w:p>
    <w:p w:rsidR="00ED686E" w:rsidRDefault="00ED686E" w:rsidP="00ED686E">
      <w:pPr>
        <w:pStyle w:val="ListParagraph"/>
        <w:numPr>
          <w:ilvl w:val="2"/>
          <w:numId w:val="1"/>
        </w:numPr>
      </w:pPr>
      <w:r>
        <w:t>Financial declarations</w:t>
      </w:r>
    </w:p>
    <w:p w:rsidR="00FB24EB" w:rsidRDefault="00FB24EB" w:rsidP="00FB24EB">
      <w:pPr>
        <w:pStyle w:val="ListParagraph"/>
        <w:numPr>
          <w:ilvl w:val="1"/>
          <w:numId w:val="1"/>
        </w:numPr>
      </w:pPr>
      <w:r>
        <w:t xml:space="preserve">Grounds “therefor” </w:t>
      </w:r>
      <w:hyperlink r:id="rId12" w:history="1">
        <w:r w:rsidRPr="005B444D">
          <w:rPr>
            <w:rStyle w:val="Hyperlink"/>
          </w:rPr>
          <w:t>SCRCP 7(b)</w:t>
        </w:r>
      </w:hyperlink>
    </w:p>
    <w:p w:rsidR="00FB24EB" w:rsidRDefault="00FB24EB" w:rsidP="00FB24EB">
      <w:pPr>
        <w:pStyle w:val="ListParagraph"/>
        <w:numPr>
          <w:ilvl w:val="1"/>
          <w:numId w:val="1"/>
        </w:numPr>
      </w:pPr>
      <w:r>
        <w:t>Burden of proof</w:t>
      </w:r>
    </w:p>
    <w:p w:rsidR="00FB24EB" w:rsidRDefault="00FB24EB" w:rsidP="00FB24EB">
      <w:pPr>
        <w:pStyle w:val="ListParagraph"/>
        <w:numPr>
          <w:ilvl w:val="2"/>
          <w:numId w:val="1"/>
        </w:numPr>
      </w:pPr>
      <w:r>
        <w:t>Modification versus initial case</w:t>
      </w:r>
    </w:p>
    <w:p w:rsidR="00CA73F6" w:rsidRDefault="00CA73F6" w:rsidP="00CA73F6">
      <w:pPr>
        <w:pStyle w:val="ListParagraph"/>
        <w:numPr>
          <w:ilvl w:val="1"/>
          <w:numId w:val="1"/>
        </w:numPr>
      </w:pPr>
      <w:r>
        <w:t>How much time</w:t>
      </w:r>
    </w:p>
    <w:p w:rsidR="00ED686E" w:rsidRDefault="00ED686E" w:rsidP="00ED686E">
      <w:pPr>
        <w:pStyle w:val="ListParagraph"/>
        <w:numPr>
          <w:ilvl w:val="2"/>
          <w:numId w:val="1"/>
        </w:numPr>
      </w:pPr>
      <w:r>
        <w:t>15 minutes for very simply motions with eight pages of affidavits or less</w:t>
      </w:r>
    </w:p>
    <w:p w:rsidR="00ED686E" w:rsidRDefault="00ED686E" w:rsidP="00ED686E">
      <w:pPr>
        <w:pStyle w:val="ListParagraph"/>
        <w:numPr>
          <w:ilvl w:val="2"/>
          <w:numId w:val="1"/>
        </w:numPr>
      </w:pPr>
      <w:r>
        <w:t>30 minutes for more complex motions</w:t>
      </w:r>
    </w:p>
    <w:p w:rsidR="00ED686E" w:rsidRDefault="00ED686E" w:rsidP="00ED686E">
      <w:pPr>
        <w:pStyle w:val="ListParagraph"/>
        <w:numPr>
          <w:ilvl w:val="2"/>
          <w:numId w:val="1"/>
        </w:numPr>
      </w:pPr>
      <w:r>
        <w:t xml:space="preserve">Even more time if seeking testimony.  </w:t>
      </w:r>
      <w:hyperlink r:id="rId13" w:history="1">
        <w:r w:rsidRPr="00FF6503">
          <w:rPr>
            <w:rStyle w:val="Hyperlink"/>
          </w:rPr>
          <w:t>Rule 21(b), SCFCR</w:t>
        </w:r>
      </w:hyperlink>
    </w:p>
    <w:p w:rsidR="00FB24EB" w:rsidRDefault="00FB24EB" w:rsidP="00FB24EB">
      <w:pPr>
        <w:pStyle w:val="ListParagraph"/>
        <w:numPr>
          <w:ilvl w:val="0"/>
          <w:numId w:val="1"/>
        </w:numPr>
      </w:pPr>
      <w:r>
        <w:lastRenderedPageBreak/>
        <w:t>Initial preparation</w:t>
      </w:r>
    </w:p>
    <w:p w:rsidR="00FB24EB" w:rsidRDefault="00FB24EB" w:rsidP="00FB24EB">
      <w:pPr>
        <w:pStyle w:val="ListParagraph"/>
        <w:numPr>
          <w:ilvl w:val="1"/>
          <w:numId w:val="1"/>
        </w:numPr>
      </w:pPr>
      <w:r>
        <w:t>How to obtain affidavits, who to obtain affidavits from, and what should the affidavits say</w:t>
      </w:r>
    </w:p>
    <w:p w:rsidR="001A172D" w:rsidRDefault="001A172D" w:rsidP="00FB24EB">
      <w:pPr>
        <w:pStyle w:val="ListParagraph"/>
        <w:numPr>
          <w:ilvl w:val="1"/>
          <w:numId w:val="1"/>
        </w:numPr>
      </w:pPr>
      <w:r>
        <w:t>Subpoenas</w:t>
      </w:r>
    </w:p>
    <w:p w:rsidR="001A172D" w:rsidRDefault="001A172D" w:rsidP="00FB24EB">
      <w:pPr>
        <w:pStyle w:val="ListParagraph"/>
        <w:numPr>
          <w:ilvl w:val="1"/>
          <w:numId w:val="1"/>
        </w:numPr>
      </w:pPr>
      <w:r>
        <w:t xml:space="preserve">Begin preparation of </w:t>
      </w:r>
      <w:hyperlink r:id="rId14" w:history="1">
        <w:r w:rsidRPr="005B444D">
          <w:rPr>
            <w:rStyle w:val="Hyperlink"/>
          </w:rPr>
          <w:t>financial declaration</w:t>
        </w:r>
      </w:hyperlink>
    </w:p>
    <w:p w:rsidR="001A172D" w:rsidRDefault="001A172D" w:rsidP="001A172D">
      <w:pPr>
        <w:pStyle w:val="ListParagraph"/>
        <w:numPr>
          <w:ilvl w:val="2"/>
          <w:numId w:val="1"/>
        </w:numPr>
      </w:pPr>
      <w:r>
        <w:t>Proof of income</w:t>
      </w:r>
    </w:p>
    <w:p w:rsidR="00ED686E" w:rsidRDefault="00ED686E" w:rsidP="001A172D">
      <w:pPr>
        <w:pStyle w:val="ListParagraph"/>
        <w:numPr>
          <w:ilvl w:val="2"/>
          <w:numId w:val="1"/>
        </w:numPr>
      </w:pPr>
      <w:r>
        <w:t>Listing assets and debts</w:t>
      </w:r>
    </w:p>
    <w:p w:rsidR="001A172D" w:rsidRDefault="001A172D" w:rsidP="001A172D">
      <w:pPr>
        <w:pStyle w:val="ListParagraph"/>
        <w:numPr>
          <w:ilvl w:val="2"/>
          <w:numId w:val="1"/>
        </w:numPr>
      </w:pPr>
      <w:r>
        <w:t>Document</w:t>
      </w:r>
      <w:r w:rsidR="00ED686E">
        <w:t>ing</w:t>
      </w:r>
      <w:r>
        <w:t xml:space="preserve"> values of assets and debts</w:t>
      </w:r>
    </w:p>
    <w:p w:rsidR="001A172D" w:rsidRDefault="001A172D" w:rsidP="001A172D">
      <w:pPr>
        <w:pStyle w:val="ListParagraph"/>
        <w:numPr>
          <w:ilvl w:val="1"/>
          <w:numId w:val="1"/>
        </w:numPr>
      </w:pPr>
      <w:r>
        <w:t xml:space="preserve">Preparing </w:t>
      </w:r>
      <w:hyperlink r:id="rId15" w:history="1">
        <w:r w:rsidRPr="005B444D">
          <w:rPr>
            <w:rStyle w:val="Hyperlink"/>
          </w:rPr>
          <w:t>proposed parenting plan</w:t>
        </w:r>
      </w:hyperlink>
    </w:p>
    <w:p w:rsidR="001A172D" w:rsidRDefault="001A172D" w:rsidP="001A172D">
      <w:pPr>
        <w:pStyle w:val="ListParagraph"/>
        <w:numPr>
          <w:ilvl w:val="2"/>
          <w:numId w:val="1"/>
        </w:numPr>
      </w:pPr>
      <w:r>
        <w:t>Strategic considerations</w:t>
      </w:r>
    </w:p>
    <w:p w:rsidR="001A172D" w:rsidRDefault="001A172D" w:rsidP="001A172D">
      <w:pPr>
        <w:pStyle w:val="ListParagraph"/>
        <w:numPr>
          <w:ilvl w:val="2"/>
          <w:numId w:val="1"/>
        </w:numPr>
      </w:pPr>
      <w:r>
        <w:t>Goals in custody will shape affidavits being sought</w:t>
      </w:r>
    </w:p>
    <w:p w:rsidR="001A172D" w:rsidRPr="001A172D" w:rsidRDefault="001A172D" w:rsidP="001A172D">
      <w:pPr>
        <w:pStyle w:val="ListParagraph"/>
        <w:numPr>
          <w:ilvl w:val="2"/>
          <w:numId w:val="1"/>
        </w:numPr>
      </w:pPr>
      <w:r>
        <w:t xml:space="preserve">Statutory custody factors </w:t>
      </w:r>
      <w:hyperlink r:id="rId16" w:history="1">
        <w:r w:rsidRPr="00004E33">
          <w:rPr>
            <w:rStyle w:val="Hyperlink"/>
          </w:rPr>
          <w:t>S.C. Code § 63-15-240(B)</w:t>
        </w:r>
      </w:hyperlink>
    </w:p>
    <w:p w:rsidR="001A172D" w:rsidRDefault="001A172D" w:rsidP="001A172D">
      <w:pPr>
        <w:pStyle w:val="ListParagraph"/>
        <w:numPr>
          <w:ilvl w:val="0"/>
          <w:numId w:val="1"/>
        </w:numPr>
      </w:pPr>
      <w:r>
        <w:t>Turning statements into affidavits</w:t>
      </w:r>
    </w:p>
    <w:p w:rsidR="001A172D" w:rsidRDefault="001A172D" w:rsidP="001A172D">
      <w:pPr>
        <w:pStyle w:val="ListParagraph"/>
        <w:numPr>
          <w:ilvl w:val="1"/>
          <w:numId w:val="1"/>
        </w:numPr>
      </w:pPr>
      <w:r>
        <w:t>Personal knowledge?</w:t>
      </w:r>
    </w:p>
    <w:p w:rsidR="001A172D" w:rsidRDefault="001A172D" w:rsidP="001A172D">
      <w:pPr>
        <w:pStyle w:val="ListParagraph"/>
        <w:numPr>
          <w:ilvl w:val="1"/>
          <w:numId w:val="1"/>
        </w:numPr>
      </w:pPr>
      <w:r>
        <w:t>Detail</w:t>
      </w:r>
    </w:p>
    <w:p w:rsidR="001A172D" w:rsidRDefault="001A172D" w:rsidP="001A172D">
      <w:pPr>
        <w:pStyle w:val="ListParagraph"/>
        <w:numPr>
          <w:ilvl w:val="1"/>
          <w:numId w:val="1"/>
        </w:numPr>
      </w:pPr>
      <w:r>
        <w:t>Exhibits</w:t>
      </w:r>
    </w:p>
    <w:p w:rsidR="002A37E3" w:rsidRDefault="002A37E3" w:rsidP="002A37E3">
      <w:pPr>
        <w:pStyle w:val="ListParagraph"/>
        <w:numPr>
          <w:ilvl w:val="0"/>
          <w:numId w:val="1"/>
        </w:numPr>
      </w:pPr>
      <w:r>
        <w:t>Using financial experts i</w:t>
      </w:r>
      <w:r w:rsidR="00E87F07">
        <w:t>n temporary hearing preparation</w:t>
      </w:r>
    </w:p>
    <w:p w:rsidR="001A172D" w:rsidRDefault="001A172D" w:rsidP="001A172D">
      <w:pPr>
        <w:pStyle w:val="ListParagraph"/>
        <w:numPr>
          <w:ilvl w:val="0"/>
          <w:numId w:val="1"/>
        </w:numPr>
      </w:pPr>
      <w:r>
        <w:t>Defending temporary hearings</w:t>
      </w:r>
    </w:p>
    <w:p w:rsidR="001A172D" w:rsidRDefault="001A172D" w:rsidP="001A172D">
      <w:pPr>
        <w:pStyle w:val="ListParagraph"/>
        <w:numPr>
          <w:ilvl w:val="1"/>
          <w:numId w:val="1"/>
        </w:numPr>
      </w:pPr>
      <w:proofErr w:type="gramStart"/>
      <w:r>
        <w:t>Return?</w:t>
      </w:r>
      <w:proofErr w:type="gramEnd"/>
    </w:p>
    <w:p w:rsidR="00C37DD2" w:rsidRDefault="00C37DD2" w:rsidP="00C37DD2">
      <w:pPr>
        <w:pStyle w:val="ListParagraph"/>
        <w:numPr>
          <w:ilvl w:val="2"/>
          <w:numId w:val="1"/>
        </w:numPr>
      </w:pPr>
      <w:r>
        <w:t>Rules don’t require it</w:t>
      </w:r>
    </w:p>
    <w:p w:rsidR="00C37DD2" w:rsidRDefault="00C37DD2" w:rsidP="00C37DD2">
      <w:pPr>
        <w:pStyle w:val="ListParagraph"/>
        <w:numPr>
          <w:ilvl w:val="2"/>
          <w:numId w:val="1"/>
        </w:numPr>
      </w:pPr>
      <w:r>
        <w:t>Possibly needed if seeking attorney’s fees</w:t>
      </w:r>
    </w:p>
    <w:p w:rsidR="00C37DD2" w:rsidRDefault="00C37DD2" w:rsidP="00C37DD2">
      <w:pPr>
        <w:pStyle w:val="ListParagraph"/>
        <w:numPr>
          <w:ilvl w:val="2"/>
          <w:numId w:val="1"/>
        </w:numPr>
      </w:pPr>
      <w:r>
        <w:t>Not proper vehicle to see relief that is not part of the opposing party’s motion for temporary relief</w:t>
      </w:r>
    </w:p>
    <w:p w:rsidR="001A172D" w:rsidRDefault="001A172D" w:rsidP="001A172D">
      <w:pPr>
        <w:pStyle w:val="ListParagraph"/>
        <w:numPr>
          <w:ilvl w:val="1"/>
          <w:numId w:val="1"/>
        </w:numPr>
      </w:pPr>
      <w:r>
        <w:t>Cross-motion</w:t>
      </w:r>
    </w:p>
    <w:p w:rsidR="00E754F6" w:rsidRDefault="00E754F6" w:rsidP="00E754F6">
      <w:pPr>
        <w:pStyle w:val="ListParagraph"/>
        <w:numPr>
          <w:ilvl w:val="2"/>
          <w:numId w:val="1"/>
        </w:numPr>
      </w:pPr>
      <w:r>
        <w:t xml:space="preserve">If seeking affirmative relief </w:t>
      </w:r>
      <w:r w:rsidR="00C37DD2">
        <w:t>not sought by opposing party’s motion, best practice is to</w:t>
      </w:r>
      <w:r>
        <w:t xml:space="preserve"> file cross-motion</w:t>
      </w:r>
    </w:p>
    <w:p w:rsidR="00C37DD2" w:rsidRDefault="00E754F6" w:rsidP="00C37DD2">
      <w:pPr>
        <w:pStyle w:val="ListParagraph"/>
        <w:numPr>
          <w:ilvl w:val="2"/>
          <w:numId w:val="1"/>
        </w:numPr>
      </w:pPr>
      <w:r>
        <w:t>Permission from clerk or chief administrative judge</w:t>
      </w:r>
      <w:r w:rsidR="00C37DD2">
        <w:t xml:space="preserve"> on docketing scheduling</w:t>
      </w:r>
    </w:p>
    <w:p w:rsidR="00E754F6" w:rsidRDefault="00E754F6" w:rsidP="00E754F6">
      <w:pPr>
        <w:pStyle w:val="ListParagraph"/>
        <w:numPr>
          <w:ilvl w:val="0"/>
          <w:numId w:val="1"/>
        </w:numPr>
      </w:pPr>
      <w:r>
        <w:t>Final preparation</w:t>
      </w:r>
    </w:p>
    <w:p w:rsidR="00C37DD2" w:rsidRDefault="00C37DD2" w:rsidP="00C37DD2">
      <w:pPr>
        <w:pStyle w:val="ListParagraph"/>
        <w:numPr>
          <w:ilvl w:val="1"/>
          <w:numId w:val="1"/>
        </w:numPr>
      </w:pPr>
      <w:r>
        <w:t>Final preparation of financial declaration</w:t>
      </w:r>
    </w:p>
    <w:p w:rsidR="00C37DD2" w:rsidRDefault="00C37DD2" w:rsidP="00C37DD2">
      <w:pPr>
        <w:pStyle w:val="ListParagraph"/>
        <w:numPr>
          <w:ilvl w:val="2"/>
          <w:numId w:val="1"/>
        </w:numPr>
      </w:pPr>
      <w:r>
        <w:t>List other side</w:t>
      </w:r>
      <w:r w:rsidR="00004E33">
        <w:t>’</w:t>
      </w:r>
      <w:bookmarkStart w:id="0" w:name="_GoBack"/>
      <w:bookmarkEnd w:id="0"/>
      <w:r>
        <w:t>s assets and debts even if one cannot yet value them</w:t>
      </w:r>
    </w:p>
    <w:p w:rsidR="00C37DD2" w:rsidRDefault="00C37DD2" w:rsidP="00C37DD2">
      <w:pPr>
        <w:pStyle w:val="ListParagraph"/>
        <w:numPr>
          <w:ilvl w:val="2"/>
          <w:numId w:val="1"/>
        </w:numPr>
      </w:pPr>
      <w:r>
        <w:t xml:space="preserve">Check for accuracy and </w:t>
      </w:r>
      <w:r w:rsidR="006B1B40">
        <w:t>plausibility</w:t>
      </w:r>
    </w:p>
    <w:p w:rsidR="006B1B40" w:rsidRDefault="006B1B40" w:rsidP="00C37DD2">
      <w:pPr>
        <w:pStyle w:val="ListParagraph"/>
        <w:numPr>
          <w:ilvl w:val="2"/>
          <w:numId w:val="1"/>
        </w:numPr>
      </w:pPr>
      <w:r>
        <w:t>Be prepared to explain accurate but implausible information in client’s affidavit</w:t>
      </w:r>
    </w:p>
    <w:p w:rsidR="006B1B40" w:rsidRDefault="006B1B40" w:rsidP="00C37DD2">
      <w:pPr>
        <w:pStyle w:val="ListParagraph"/>
        <w:numPr>
          <w:ilvl w:val="2"/>
          <w:numId w:val="1"/>
        </w:numPr>
      </w:pPr>
      <w:r>
        <w:t>Attach supporting documentation to client’s affidavit or financial declaration if you believe accuracy will be disputed</w:t>
      </w:r>
    </w:p>
    <w:p w:rsidR="006B1B40" w:rsidRDefault="006B1B40" w:rsidP="006B1B40">
      <w:pPr>
        <w:pStyle w:val="ListParagraph"/>
        <w:numPr>
          <w:ilvl w:val="1"/>
          <w:numId w:val="1"/>
        </w:numPr>
      </w:pPr>
      <w:r>
        <w:t>Witness affidavits</w:t>
      </w:r>
    </w:p>
    <w:p w:rsidR="006B1B40" w:rsidRDefault="006B1B40" w:rsidP="006B1B40">
      <w:pPr>
        <w:pStyle w:val="ListParagraph"/>
        <w:numPr>
          <w:ilvl w:val="2"/>
          <w:numId w:val="1"/>
        </w:numPr>
      </w:pPr>
      <w:r>
        <w:t>Are they based upon personal knowledge</w:t>
      </w:r>
    </w:p>
    <w:p w:rsidR="006B1B40" w:rsidRDefault="006B1B40" w:rsidP="006B1B40">
      <w:pPr>
        <w:pStyle w:val="ListParagraph"/>
        <w:numPr>
          <w:ilvl w:val="2"/>
          <w:numId w:val="1"/>
        </w:numPr>
      </w:pPr>
      <w:r>
        <w:t>Hearsay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Can always include what the other side says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Should try to limit repeating what one’s own client says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Statements of the children</w:t>
      </w:r>
    </w:p>
    <w:p w:rsidR="006B1B40" w:rsidRDefault="006B1B40" w:rsidP="006B1B40">
      <w:pPr>
        <w:pStyle w:val="ListParagraph"/>
        <w:numPr>
          <w:ilvl w:val="4"/>
          <w:numId w:val="1"/>
        </w:numPr>
      </w:pPr>
      <w:r>
        <w:t>If not offered for truth of matter asserted, not hearsay</w:t>
      </w:r>
    </w:p>
    <w:p w:rsidR="006B1B40" w:rsidRDefault="006B1B40" w:rsidP="006B1B40">
      <w:pPr>
        <w:pStyle w:val="ListParagraph"/>
        <w:numPr>
          <w:ilvl w:val="4"/>
          <w:numId w:val="1"/>
        </w:numPr>
      </w:pPr>
      <w:r>
        <w:t>Hearsay exceptions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Can be included even if not admissible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Can be objected to if not admissible and other party catches it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lastRenderedPageBreak/>
        <w:t>Can later damage that witnesses credibility if not accurate</w:t>
      </w:r>
    </w:p>
    <w:p w:rsidR="006B1B40" w:rsidRDefault="006B1B40" w:rsidP="006B1B40">
      <w:pPr>
        <w:pStyle w:val="ListParagraph"/>
        <w:numPr>
          <w:ilvl w:val="2"/>
          <w:numId w:val="1"/>
        </w:numPr>
      </w:pPr>
      <w:r>
        <w:t>Are they useful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Too opinionated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Too one sided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Remember the client and the witness may both be impeached at trial on the information contained in the affidavits that party submits at the temporary hearing</w:t>
      </w:r>
    </w:p>
    <w:p w:rsidR="006B1B40" w:rsidRDefault="00FF6503" w:rsidP="006B1B40">
      <w:pPr>
        <w:pStyle w:val="ListParagraph"/>
        <w:numPr>
          <w:ilvl w:val="4"/>
          <w:numId w:val="1"/>
        </w:numPr>
      </w:pPr>
      <w:hyperlink r:id="rId17" w:history="1">
        <w:r w:rsidR="006B1B40" w:rsidRPr="00FF6503">
          <w:rPr>
            <w:rStyle w:val="Hyperlink"/>
          </w:rPr>
          <w:t>Rule 801(d)(2)(B), SCRE</w:t>
        </w:r>
      </w:hyperlink>
      <w:r w:rsidR="006B1B40">
        <w:t>, “</w:t>
      </w:r>
      <w:r w:rsidR="006B1B40" w:rsidRPr="006B1B40">
        <w:t>a statement of which the party has manifested an adoption or belief in its truth</w:t>
      </w:r>
      <w:r w:rsidR="006B1B40">
        <w:t>”</w:t>
      </w:r>
    </w:p>
    <w:p w:rsidR="006B1B40" w:rsidRDefault="006B1B40" w:rsidP="006B1B40">
      <w:pPr>
        <w:pStyle w:val="ListParagraph"/>
        <w:numPr>
          <w:ilvl w:val="4"/>
          <w:numId w:val="1"/>
        </w:numPr>
      </w:pPr>
      <w:r>
        <w:t xml:space="preserve">Relief may be “won” at the temporary hearing based on inaccurate affidavits but render the case basically </w:t>
      </w:r>
      <w:proofErr w:type="spellStart"/>
      <w:r>
        <w:t>untryable</w:t>
      </w:r>
      <w:proofErr w:type="spellEnd"/>
      <w:r>
        <w:t xml:space="preserve"> by the victor</w:t>
      </w:r>
    </w:p>
    <w:p w:rsidR="006B1B40" w:rsidRDefault="006B1B40" w:rsidP="006B1B40">
      <w:pPr>
        <w:pStyle w:val="ListParagraph"/>
        <w:numPr>
          <w:ilvl w:val="2"/>
          <w:numId w:val="1"/>
        </w:numPr>
      </w:pPr>
      <w:r>
        <w:t>Client’s affidavit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Should be revised repeatedly as one learns more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Should harmonize with other witness affidavits being presented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Show, don’t tell, whenever possible with exhibits</w:t>
      </w:r>
    </w:p>
    <w:p w:rsidR="006B1B40" w:rsidRDefault="006B1B40" w:rsidP="006B1B40">
      <w:pPr>
        <w:pStyle w:val="ListParagraph"/>
        <w:numPr>
          <w:ilvl w:val="3"/>
          <w:numId w:val="1"/>
        </w:numPr>
      </w:pPr>
      <w:r>
        <w:t>Cover disputed issues and relief sought in the motion</w:t>
      </w:r>
    </w:p>
    <w:p w:rsidR="006B1B40" w:rsidRDefault="006B1B40" w:rsidP="006B1B40">
      <w:pPr>
        <w:pStyle w:val="ListParagraph"/>
        <w:numPr>
          <w:ilvl w:val="4"/>
          <w:numId w:val="1"/>
        </w:numPr>
      </w:pPr>
      <w:r>
        <w:t>Don’t need histories unless relevant</w:t>
      </w:r>
    </w:p>
    <w:p w:rsidR="006B1B40" w:rsidRDefault="006B1B40" w:rsidP="006B1B40">
      <w:pPr>
        <w:pStyle w:val="ListParagraph"/>
        <w:numPr>
          <w:ilvl w:val="4"/>
          <w:numId w:val="1"/>
        </w:numPr>
      </w:pPr>
      <w:r>
        <w:t>Too much information is merely impeachment material for trial</w:t>
      </w:r>
    </w:p>
    <w:p w:rsidR="005B444D" w:rsidRDefault="000F1640" w:rsidP="005B444D">
      <w:pPr>
        <w:pStyle w:val="ListParagraph"/>
        <w:numPr>
          <w:ilvl w:val="2"/>
          <w:numId w:val="1"/>
        </w:numPr>
      </w:pPr>
      <w:hyperlink r:id="rId18" w:history="1">
        <w:r w:rsidR="005B444D" w:rsidRPr="000F1640">
          <w:rPr>
            <w:rStyle w:val="Hyperlink"/>
          </w:rPr>
          <w:t>Temporary hearing background information</w:t>
        </w:r>
      </w:hyperlink>
    </w:p>
    <w:p w:rsidR="000F1640" w:rsidRDefault="000F1640" w:rsidP="002A37E3">
      <w:pPr>
        <w:pStyle w:val="ListParagraph"/>
        <w:numPr>
          <w:ilvl w:val="1"/>
          <w:numId w:val="1"/>
        </w:numPr>
      </w:pPr>
      <w:r>
        <w:t>Fee affidavit</w:t>
      </w:r>
    </w:p>
    <w:p w:rsidR="000F1640" w:rsidRDefault="000F1640" w:rsidP="000F1640">
      <w:pPr>
        <w:pStyle w:val="ListParagraph"/>
        <w:numPr>
          <w:ilvl w:val="2"/>
          <w:numId w:val="1"/>
        </w:numPr>
      </w:pPr>
      <w:r>
        <w:t xml:space="preserve">Must include itemized statement of time spent. </w:t>
      </w:r>
      <w:hyperlink r:id="rId19" w:history="1">
        <w:r w:rsidRPr="00004E33">
          <w:rPr>
            <w:rStyle w:val="Hyperlink"/>
            <w:i/>
          </w:rPr>
          <w:t>Strickland v. Strickland</w:t>
        </w:r>
      </w:hyperlink>
      <w:r w:rsidRPr="000F1640">
        <w:t>, 297 S.</w:t>
      </w:r>
      <w:r w:rsidR="00004E33">
        <w:t>C. 248, 376 S.E.2d 268 (1989).</w:t>
      </w:r>
    </w:p>
    <w:p w:rsidR="00C13EFD" w:rsidRDefault="00E754F6" w:rsidP="002A37E3">
      <w:pPr>
        <w:pStyle w:val="ListParagraph"/>
        <w:numPr>
          <w:ilvl w:val="1"/>
          <w:numId w:val="1"/>
        </w:numPr>
      </w:pPr>
      <w:r>
        <w:t>Argument outline</w:t>
      </w:r>
    </w:p>
    <w:sectPr w:rsidR="00C1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33460"/>
    <w:multiLevelType w:val="hybridMultilevel"/>
    <w:tmpl w:val="4F247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EB"/>
    <w:rsid w:val="00004E33"/>
    <w:rsid w:val="000F1640"/>
    <w:rsid w:val="001A172D"/>
    <w:rsid w:val="00233A2B"/>
    <w:rsid w:val="002632CD"/>
    <w:rsid w:val="002A37E3"/>
    <w:rsid w:val="002F2939"/>
    <w:rsid w:val="00325310"/>
    <w:rsid w:val="005B444D"/>
    <w:rsid w:val="006B1B40"/>
    <w:rsid w:val="0089070D"/>
    <w:rsid w:val="00C13EFD"/>
    <w:rsid w:val="00C371C9"/>
    <w:rsid w:val="00C37DD2"/>
    <w:rsid w:val="00CA73F6"/>
    <w:rsid w:val="00E754F6"/>
    <w:rsid w:val="00E87F07"/>
    <w:rsid w:val="00ED686E"/>
    <w:rsid w:val="00FB24EB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3EDF"/>
  <w15:chartTrackingRefBased/>
  <w15:docId w15:val="{35E04635-6BC4-4257-A0BD-E3A298F6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ourts.org/courtReg/displayRule.cfm?ruleID=6.0&amp;subRuleID=&amp;ruleType=CIV" TargetMode="External"/><Relationship Id="rId13" Type="http://schemas.openxmlformats.org/officeDocument/2006/relationships/hyperlink" Target="http://www.sccourts.org/courtReg/displayRule.cfm?ruleID=21.0&amp;subRuleID=&amp;ruleType=FAM" TargetMode="External"/><Relationship Id="rId18" Type="http://schemas.openxmlformats.org/officeDocument/2006/relationships/hyperlink" Target="http://www.sccourts.org/forms/word/SCCA459.do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courts.org/courtReg/displayRule.cfm?ruleID=25.0&amp;subRuleID=&amp;ruleType=FAM" TargetMode="External"/><Relationship Id="rId12" Type="http://schemas.openxmlformats.org/officeDocument/2006/relationships/hyperlink" Target="http://www.sccourts.org/courtReg/displayRule.cfm?ruleID=7.0&amp;subRuleID=&amp;ruleType=CIV" TargetMode="External"/><Relationship Id="rId17" Type="http://schemas.openxmlformats.org/officeDocument/2006/relationships/hyperlink" Target="http://www.sccourts.org/courtReg/displayRule.cfm?ruleID=801.0&amp;subRuleID=&amp;ruleType=EV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w.justia.com/codes/south-carolina/2012/title-63/chapter-15/section-63-15-24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scholar_case?case=18084493201481079801&amp;q=calhoun+v.+calhoun&amp;hl=en&amp;as_sdt=4,41" TargetMode="External"/><Relationship Id="rId11" Type="http://schemas.openxmlformats.org/officeDocument/2006/relationships/hyperlink" Target="http://www.sccourts.org/courtReg/displayRule.cfm?ruleID=6.0&amp;subRuleID=&amp;ruleType=CIV" TargetMode="External"/><Relationship Id="rId5" Type="http://schemas.openxmlformats.org/officeDocument/2006/relationships/hyperlink" Target="http://www.sccourts.org/courtReg/displayRule.cfm?ruleID=21.0&amp;subRuleID=&amp;ruleType=FAM" TargetMode="External"/><Relationship Id="rId15" Type="http://schemas.openxmlformats.org/officeDocument/2006/relationships/hyperlink" Target="http://www.sccourts.org/forms/word/SCCA466.dot" TargetMode="External"/><Relationship Id="rId10" Type="http://schemas.openxmlformats.org/officeDocument/2006/relationships/hyperlink" Target="http://www.sccourts.org/courtReg/displayRule.cfm?ruleID=21.0&amp;subRuleID=&amp;ruleType=FAM" TargetMode="External"/><Relationship Id="rId19" Type="http://schemas.openxmlformats.org/officeDocument/2006/relationships/hyperlink" Target="https://scholar.google.com/scholar_case?case=2058137228510516866&amp;q=Strickland+v.+Strickland&amp;hl=en&amp;as_sdt=4,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courts.org/courtReg/displayRule.cfm?ruleID=21.0&amp;subRuleID=&amp;ruleType=FAM" TargetMode="External"/><Relationship Id="rId14" Type="http://schemas.openxmlformats.org/officeDocument/2006/relationships/hyperlink" Target="http://www.sccourts.org/forms/word/SCCA43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Forman</dc:creator>
  <cp:keywords/>
  <dc:description/>
  <cp:lastModifiedBy>Gregory Forman</cp:lastModifiedBy>
  <cp:revision>12</cp:revision>
  <dcterms:created xsi:type="dcterms:W3CDTF">2017-08-30T20:46:00Z</dcterms:created>
  <dcterms:modified xsi:type="dcterms:W3CDTF">2018-01-11T22:49:00Z</dcterms:modified>
</cp:coreProperties>
</file>